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1441"/>
        <w:gridCol w:w="194"/>
        <w:gridCol w:w="1964"/>
        <w:gridCol w:w="118"/>
        <w:gridCol w:w="2260"/>
      </w:tblGrid>
      <w:tr w:rsidR="007D382B" w:rsidRPr="00CE494B" w14:paraId="35A2D414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CE494B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CE494B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CE494B" w14:paraId="32DB9ABB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42AEDCA8" w14:textId="77777777" w:rsidR="0079765A" w:rsidRPr="00CE494B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977" w:type="dxa"/>
            <w:gridSpan w:val="5"/>
          </w:tcPr>
          <w:p w14:paraId="4953E742" w14:textId="11ACD955" w:rsidR="0079765A" w:rsidRPr="00CE494B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CE494B" w14:paraId="7492E98F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2DCBC3EA" w14:textId="77777777" w:rsidR="0079765A" w:rsidRPr="00CE494B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977" w:type="dxa"/>
            <w:gridSpan w:val="5"/>
          </w:tcPr>
          <w:p w14:paraId="7D27A286" w14:textId="5750CFA6" w:rsidR="0079765A" w:rsidRPr="00CE494B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CE494B" w14:paraId="79CB177C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43170EF5" w14:textId="77777777" w:rsidR="0079765A" w:rsidRPr="00CE494B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977" w:type="dxa"/>
            <w:gridSpan w:val="5"/>
          </w:tcPr>
          <w:p w14:paraId="66A59828" w14:textId="3F6E51D3" w:rsidR="0079765A" w:rsidRPr="00CE494B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12496E" w:rsidRPr="00CE494B" w14:paraId="4D776F29" w14:textId="77777777" w:rsidTr="00CE494B">
        <w:tc>
          <w:tcPr>
            <w:tcW w:w="4655" w:type="dxa"/>
            <w:shd w:val="clear" w:color="auto" w:fill="F2F2F2" w:themeFill="background1" w:themeFillShade="F2"/>
          </w:tcPr>
          <w:p w14:paraId="7F50F1E5" w14:textId="77777777" w:rsidR="0012496E" w:rsidRPr="00CE494B" w:rsidRDefault="0012496E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441" w:type="dxa"/>
          </w:tcPr>
          <w:p w14:paraId="5F5CD626" w14:textId="61CAEED7" w:rsidR="0012496E" w:rsidRPr="00CE494B" w:rsidRDefault="00854CBC" w:rsidP="00215541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ΥΔ0304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</w:tcPr>
          <w:p w14:paraId="079068AB" w14:textId="77777777" w:rsidR="0012496E" w:rsidRPr="00CE494B" w:rsidRDefault="0012496E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378" w:type="dxa"/>
            <w:gridSpan w:val="2"/>
          </w:tcPr>
          <w:p w14:paraId="35AF9E24" w14:textId="65D7D5E4" w:rsidR="0012496E" w:rsidRPr="00CE494B" w:rsidRDefault="0012496E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854CBC"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9</w:t>
            </w:r>
            <w:r w:rsidR="00854CBC" w:rsidRPr="00CE494B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proofErr w:type="spellEnd"/>
            <w:r w:rsidR="003A4686"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CE494B" w14:paraId="5C8B8219" w14:textId="77777777" w:rsidTr="00854CBC">
        <w:trPr>
          <w:trHeight w:val="375"/>
        </w:trPr>
        <w:tc>
          <w:tcPr>
            <w:tcW w:w="4655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CE494B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977" w:type="dxa"/>
            <w:gridSpan w:val="5"/>
            <w:vAlign w:val="center"/>
          </w:tcPr>
          <w:p w14:paraId="11FE1C2C" w14:textId="4E083C91" w:rsidR="0079765A" w:rsidRPr="00CE494B" w:rsidRDefault="00854CBC" w:rsidP="00CE494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ΥΔΑΤΟΚΑΛΛΙΕΡΓΕΙΕΣ ΚΑΙ ΠΕΡΙΒΑΛΛΟΝ</w:t>
            </w:r>
          </w:p>
        </w:tc>
      </w:tr>
      <w:tr w:rsidR="007D382B" w:rsidRPr="00CE494B" w14:paraId="323BA64E" w14:textId="77777777" w:rsidTr="00854CBC">
        <w:trPr>
          <w:trHeight w:val="196"/>
        </w:trPr>
        <w:tc>
          <w:tcPr>
            <w:tcW w:w="6290" w:type="dxa"/>
            <w:gridSpan w:val="3"/>
            <w:shd w:val="clear" w:color="auto" w:fill="F2F2F2" w:themeFill="background1" w:themeFillShade="F2"/>
            <w:vAlign w:val="center"/>
          </w:tcPr>
          <w:p w14:paraId="6F0AE92C" w14:textId="6BC36E67" w:rsidR="0079765A" w:rsidRPr="00CE494B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082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CE494B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6CD13DC5" w14:textId="77777777" w:rsidR="0079765A" w:rsidRPr="00CE494B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CE494B" w14:paraId="7318D03C" w14:textId="77777777" w:rsidTr="00854CBC">
        <w:trPr>
          <w:trHeight w:val="194"/>
        </w:trPr>
        <w:tc>
          <w:tcPr>
            <w:tcW w:w="6290" w:type="dxa"/>
            <w:gridSpan w:val="3"/>
          </w:tcPr>
          <w:p w14:paraId="3567BC01" w14:textId="65ED22D6" w:rsidR="0079765A" w:rsidRPr="00CE494B" w:rsidRDefault="0079765A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082" w:type="dxa"/>
            <w:gridSpan w:val="2"/>
          </w:tcPr>
          <w:p w14:paraId="67A438A5" w14:textId="2349985A" w:rsidR="0079765A" w:rsidRPr="00CE494B" w:rsidRDefault="00854CBC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>2Θ+1Α+1Ε</w:t>
            </w:r>
          </w:p>
        </w:tc>
        <w:tc>
          <w:tcPr>
            <w:tcW w:w="2260" w:type="dxa"/>
          </w:tcPr>
          <w:p w14:paraId="221DFA52" w14:textId="0A445C8F" w:rsidR="0079765A" w:rsidRPr="00CE494B" w:rsidRDefault="00854CBC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>5</w:t>
            </w:r>
          </w:p>
        </w:tc>
      </w:tr>
      <w:tr w:rsidR="00854CBC" w:rsidRPr="00CE494B" w14:paraId="41EB3AE7" w14:textId="77777777" w:rsidTr="00854CBC">
        <w:trPr>
          <w:trHeight w:val="180"/>
        </w:trPr>
        <w:tc>
          <w:tcPr>
            <w:tcW w:w="4655" w:type="dxa"/>
            <w:shd w:val="clear" w:color="auto" w:fill="F2F2F2" w:themeFill="background1" w:themeFillShade="F2"/>
          </w:tcPr>
          <w:p w14:paraId="16A3DDEC" w14:textId="7B77CDF4" w:rsidR="00854CBC" w:rsidRPr="00CE494B" w:rsidRDefault="00854CBC" w:rsidP="00854CBC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977" w:type="dxa"/>
            <w:gridSpan w:val="5"/>
          </w:tcPr>
          <w:p w14:paraId="27855A70" w14:textId="148774DB" w:rsidR="00854CBC" w:rsidRPr="00CE494B" w:rsidRDefault="00854CBC" w:rsidP="00854C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/>
                <w:sz w:val="20"/>
                <w:szCs w:val="20"/>
              </w:rPr>
              <w:t>Υπ</w:t>
            </w: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οχρεωτικό</w:t>
            </w:r>
            <w:proofErr w:type="spellEnd"/>
          </w:p>
        </w:tc>
      </w:tr>
      <w:tr w:rsidR="00854CBC" w:rsidRPr="00CE494B" w14:paraId="112134F8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783F7CF1" w14:textId="77777777" w:rsidR="00854CBC" w:rsidRPr="00CE494B" w:rsidRDefault="00854CBC" w:rsidP="00854CB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977" w:type="dxa"/>
            <w:gridSpan w:val="5"/>
          </w:tcPr>
          <w:p w14:paraId="36A91F44" w14:textId="36115783" w:rsidR="00854CBC" w:rsidRPr="00CE494B" w:rsidRDefault="00854CBC" w:rsidP="00854CB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tr w:rsidR="00854CBC" w:rsidRPr="00CE494B" w14:paraId="643294CE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41F9C996" w14:textId="6E760357" w:rsidR="00854CBC" w:rsidRPr="00CE494B" w:rsidRDefault="00854CBC" w:rsidP="00854CBC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 ΕΞΕΤΑΣΕΩΝ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977" w:type="dxa"/>
            <w:gridSpan w:val="5"/>
          </w:tcPr>
          <w:p w14:paraId="26B761E0" w14:textId="2B9AC210" w:rsidR="00854CBC" w:rsidRPr="00CE494B" w:rsidRDefault="00854CBC" w:rsidP="00854CB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Ελληνική</w:t>
            </w:r>
            <w:proofErr w:type="spellEnd"/>
          </w:p>
        </w:tc>
      </w:tr>
      <w:tr w:rsidR="00854CBC" w:rsidRPr="00CE494B" w14:paraId="41B55828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03839927" w14:textId="77777777" w:rsidR="00854CBC" w:rsidRPr="00CE494B" w:rsidRDefault="00854CBC" w:rsidP="00854CB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977" w:type="dxa"/>
            <w:gridSpan w:val="5"/>
          </w:tcPr>
          <w:p w14:paraId="6A971960" w14:textId="6B13A4BF" w:rsidR="00854CBC" w:rsidRPr="00CE494B" w:rsidRDefault="00854CBC" w:rsidP="00854CB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ΝΑΙ</w:t>
            </w:r>
            <w:proofErr w:type="spellEnd"/>
            <w:r w:rsidRPr="00CE494B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στην</w:t>
            </w:r>
            <w:proofErr w:type="spellEnd"/>
            <w:r w:rsidRPr="00CE494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Αγγλική</w:t>
            </w:r>
            <w:proofErr w:type="spellEnd"/>
            <w:r w:rsidRPr="00CE494B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854CBC" w:rsidRPr="00CE494B" w14:paraId="5006BD9D" w14:textId="77777777" w:rsidTr="00854CBC">
        <w:trPr>
          <w:trHeight w:val="240"/>
        </w:trPr>
        <w:tc>
          <w:tcPr>
            <w:tcW w:w="4655" w:type="dxa"/>
            <w:shd w:val="clear" w:color="auto" w:fill="F2F2F2" w:themeFill="background1" w:themeFillShade="F2"/>
          </w:tcPr>
          <w:p w14:paraId="6503E007" w14:textId="0F92E333" w:rsidR="00854CBC" w:rsidRPr="00CE494B" w:rsidRDefault="00854CBC" w:rsidP="00854CB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 (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977" w:type="dxa"/>
            <w:gridSpan w:val="5"/>
          </w:tcPr>
          <w:p w14:paraId="60B66327" w14:textId="6BA4116B" w:rsidR="00854CBC" w:rsidRPr="00CE494B" w:rsidRDefault="00854CBC" w:rsidP="00854CBC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eclass.uth.gr</w:t>
            </w:r>
            <w:proofErr w:type="spellEnd"/>
            <w:r w:rsidRPr="00CE494B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eclass</w:t>
            </w:r>
            <w:proofErr w:type="spellEnd"/>
            <w:r w:rsidRPr="00CE494B">
              <w:rPr>
                <w:rFonts w:ascii="Cambria" w:hAnsi="Cambria"/>
                <w:sz w:val="20"/>
                <w:szCs w:val="20"/>
              </w:rPr>
              <w:t>/main/</w:t>
            </w:r>
            <w:proofErr w:type="spellStart"/>
            <w:r w:rsidRPr="00CE494B">
              <w:rPr>
                <w:rFonts w:ascii="Cambria" w:hAnsi="Cambria"/>
                <w:sz w:val="20"/>
                <w:szCs w:val="20"/>
              </w:rPr>
              <w:t>portfolio.php</w:t>
            </w:r>
            <w:proofErr w:type="spellEnd"/>
          </w:p>
        </w:tc>
      </w:tr>
      <w:tr w:rsidR="007D382B" w:rsidRPr="00CE494B" w14:paraId="2DF77961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CE494B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CE494B" w14:paraId="68997783" w14:textId="77777777" w:rsidTr="0012496E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CE494B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CE494B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CE494B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CE494B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CE494B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CE494B" w14:paraId="0475FEA0" w14:textId="77777777" w:rsidTr="0012496E">
        <w:tc>
          <w:tcPr>
            <w:tcW w:w="10632" w:type="dxa"/>
            <w:gridSpan w:val="6"/>
            <w:shd w:val="clear" w:color="auto" w:fill="auto"/>
          </w:tcPr>
          <w:p w14:paraId="40E0DE4B" w14:textId="3F321F16" w:rsidR="00877657" w:rsidRPr="00CE494B" w:rsidRDefault="00854CBC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l-GR"/>
              </w:rPr>
              <w:t>Η απόκτηση γνώσεων σχετικά με τις επιπτώσεις των υδατοκαλλιεργειών στο υδάτινο περιβάλλον και η ικανότητα αξιολόγησής τους σε σύγκριση με άλλες μορφές ρύπανσης από ανθρώπινες δραστηριότητες. Επίσης, η απόκτηση γνώσεων σχετικά με τη μεθοδολογία και την έρευνα τόσο στο πεδίο όσο και στο εργαστήριο.</w:t>
            </w:r>
          </w:p>
          <w:p w14:paraId="5D365E1F" w14:textId="77777777" w:rsidR="005348E2" w:rsidRPr="00CE494B" w:rsidRDefault="005348E2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08D8E92C" w14:textId="0AEF84FE" w:rsidR="000F5DF6" w:rsidRPr="00CE494B" w:rsidRDefault="000F5DF6" w:rsidP="000F5DF6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CE494B" w14:paraId="38F0543A" w14:textId="77777777" w:rsidTr="0012496E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CE494B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CE494B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CE494B" w14:paraId="62CA5CEE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76DC19C5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74D59F90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2574109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2866DB80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0CFF8031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0E57E3D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3F28CAF8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1AFF59A6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  <w:p w14:paraId="511EE8B4" w14:textId="77777777" w:rsidR="0079765A" w:rsidRPr="00CE494B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5977" w:type="dxa"/>
            <w:gridSpan w:val="5"/>
            <w:shd w:val="clear" w:color="auto" w:fill="F2F2F2" w:themeFill="background1" w:themeFillShade="F2"/>
          </w:tcPr>
          <w:p w14:paraId="29D23276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Σχεδιασμός και διαχείριση έργων </w:t>
            </w:r>
          </w:p>
          <w:p w14:paraId="7FE69003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στη διαφορετικότητα και στην πολυπολιτισμικότητα </w:t>
            </w:r>
          </w:p>
          <w:p w14:paraId="4B2FB74E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0097FAB0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178F320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A75DE8" w14:textId="5AFE52FE" w:rsidR="0079765A" w:rsidRPr="00CE494B" w:rsidRDefault="0079765A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854CBC" w:rsidRPr="00CE494B" w14:paraId="341ECACC" w14:textId="77777777" w:rsidTr="00854CBC">
        <w:tc>
          <w:tcPr>
            <w:tcW w:w="10632" w:type="dxa"/>
            <w:gridSpan w:val="6"/>
            <w:shd w:val="clear" w:color="auto" w:fill="FFFFFF" w:themeFill="background1"/>
          </w:tcPr>
          <w:p w14:paraId="556F86EA" w14:textId="60980688" w:rsidR="00854CBC" w:rsidRPr="00CE494B" w:rsidRDefault="00854CBC" w:rsidP="00854CBC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bCs/>
                <w:sz w:val="20"/>
                <w:szCs w:val="20"/>
              </w:rPr>
              <w:t>Αναζήτηση, ανάλυση και σύνθεση δεδομένων και πληροφοριών, με τη χρήση και των απαραίτητων τεχνολογιών</w:t>
            </w:r>
          </w:p>
          <w:p w14:paraId="3297AD01" w14:textId="7472F383" w:rsidR="00854CBC" w:rsidRPr="00CE494B" w:rsidRDefault="00854CBC" w:rsidP="00854CBC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bCs/>
                <w:sz w:val="20"/>
                <w:szCs w:val="20"/>
              </w:rPr>
              <w:t>Σεβασμός στο φυσικό περιβάλλον</w:t>
            </w:r>
          </w:p>
          <w:p w14:paraId="304076EA" w14:textId="62C51142" w:rsidR="00854CBC" w:rsidRPr="00CE494B" w:rsidRDefault="00854CBC" w:rsidP="00854CBC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bCs/>
                <w:sz w:val="20"/>
                <w:szCs w:val="20"/>
              </w:rPr>
              <w:t>Λήψη αποφάσεων</w:t>
            </w:r>
          </w:p>
        </w:tc>
      </w:tr>
      <w:tr w:rsidR="007D382B" w:rsidRPr="00CE494B" w14:paraId="4A9A2615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7D382B" w:rsidRPr="00CE494B" w14:paraId="0AE1AD6D" w14:textId="77777777" w:rsidTr="0012496E">
        <w:tc>
          <w:tcPr>
            <w:tcW w:w="10632" w:type="dxa"/>
            <w:gridSpan w:val="6"/>
            <w:shd w:val="clear" w:color="auto" w:fill="auto"/>
          </w:tcPr>
          <w:p w14:paraId="1418E165" w14:textId="77777777" w:rsidR="00854CBC" w:rsidRPr="00CE494B" w:rsidRDefault="00854CBC" w:rsidP="00854CBC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</w:rPr>
              <w:t>Ποιοτικά χαρακτηριστικά του νερού</w:t>
            </w:r>
          </w:p>
          <w:p w14:paraId="198BAD18" w14:textId="77777777" w:rsidR="00854CBC" w:rsidRPr="00CE494B" w:rsidRDefault="00854CBC" w:rsidP="00854CBC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</w:rPr>
              <w:t>Επιπτώσεις ιχθυοκαλλιεργειών στο περιβάλλον</w:t>
            </w:r>
          </w:p>
          <w:p w14:paraId="1E7C3D8C" w14:textId="77777777" w:rsidR="00854CBC" w:rsidRPr="00CE494B" w:rsidRDefault="00854CBC" w:rsidP="00854CBC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</w:rPr>
              <w:t>Θρεπτικά άλατα – Ευτροφισμός</w:t>
            </w:r>
          </w:p>
          <w:p w14:paraId="1F51F6CF" w14:textId="77777777" w:rsidR="00854CBC" w:rsidRPr="00CE494B" w:rsidRDefault="00854CBC" w:rsidP="00854CBC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</w:rPr>
              <w:lastRenderedPageBreak/>
              <w:t>Βενθικό υπόστρωμα – Δείκτες επίδρασης</w:t>
            </w:r>
          </w:p>
          <w:p w14:paraId="26761999" w14:textId="77777777" w:rsidR="00854CBC" w:rsidRPr="00CE494B" w:rsidRDefault="00854CBC" w:rsidP="00854CBC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</w:rPr>
              <w:t>Γενετική ρύπανση – Ασθένειες και παράσιτα – Χημικά κατάλοιπα</w:t>
            </w:r>
          </w:p>
          <w:p w14:paraId="1BC0D77A" w14:textId="77777777" w:rsidR="00854CBC" w:rsidRPr="00CE494B" w:rsidRDefault="00854CBC" w:rsidP="00854CBC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</w:rPr>
              <w:t>Αλιεία – Παρουσία άγριων ψαριών γύρω από τους ιχθυοκλωβούς</w:t>
            </w:r>
          </w:p>
          <w:p w14:paraId="671AD170" w14:textId="50173571" w:rsidR="001841B9" w:rsidRPr="00CE494B" w:rsidRDefault="00854CBC" w:rsidP="00854CBC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</w:rPr>
              <w:t>Επιλογή θέσης εγκατάστασης – Διαχειριστικά μέτρα</w:t>
            </w:r>
          </w:p>
        </w:tc>
      </w:tr>
      <w:tr w:rsidR="007D382B" w:rsidRPr="00CE494B" w14:paraId="005CF340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7D382B" w:rsidRPr="00CE494B" w14:paraId="41B94F08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08EC8225" w14:textId="1E7AABEB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977" w:type="dxa"/>
            <w:gridSpan w:val="5"/>
            <w:shd w:val="clear" w:color="auto" w:fill="auto"/>
          </w:tcPr>
          <w:p w14:paraId="74497924" w14:textId="5E2D2D9B" w:rsidR="0079765A" w:rsidRPr="00CE494B" w:rsidRDefault="00854CBC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Πρόσωπο με πρόσωπο</w:t>
            </w:r>
          </w:p>
        </w:tc>
      </w:tr>
      <w:tr w:rsidR="007D382B" w:rsidRPr="00CE494B" w14:paraId="485DF3F0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7D19C549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977" w:type="dxa"/>
            <w:gridSpan w:val="5"/>
            <w:shd w:val="clear" w:color="auto" w:fill="FFFFFF" w:themeFill="background1"/>
          </w:tcPr>
          <w:p w14:paraId="5F418FDE" w14:textId="77777777" w:rsidR="00854CBC" w:rsidRPr="00CE494B" w:rsidRDefault="00854CBC" w:rsidP="00854CBC">
            <w:pPr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Εξειδικευμένο λογισμικό ανάλυσης δεδομένων.</w:t>
            </w:r>
          </w:p>
          <w:p w14:paraId="57F76156" w14:textId="71391BE6" w:rsidR="0079765A" w:rsidRPr="00CE494B" w:rsidRDefault="00854CBC" w:rsidP="00854CB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Υποστήριξη μαθησιακής διαδικασίας μέσω της ηλεκτρονικής πλατφόρμας </w:t>
            </w:r>
            <w:r w:rsidRPr="00CE494B">
              <w:rPr>
                <w:rFonts w:ascii="Cambria" w:hAnsi="Cambria" w:cs="Arial"/>
                <w:color w:val="000000"/>
                <w:sz w:val="20"/>
                <w:szCs w:val="20"/>
              </w:rPr>
              <w:t>e</w:t>
            </w:r>
            <w:r w:rsidRPr="00CE494B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</w:t>
            </w:r>
            <w:r w:rsidRPr="00CE494B">
              <w:rPr>
                <w:rFonts w:ascii="Cambria" w:hAnsi="Cambria" w:cs="Arial"/>
                <w:color w:val="000000"/>
                <w:sz w:val="20"/>
                <w:szCs w:val="20"/>
              </w:rPr>
              <w:t>class</w:t>
            </w:r>
            <w:r w:rsidRPr="00CE494B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.</w:t>
            </w:r>
          </w:p>
        </w:tc>
      </w:tr>
      <w:tr w:rsidR="007D382B" w:rsidRPr="00CE494B" w14:paraId="46A53865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576413E8" w14:textId="77777777" w:rsidR="0079765A" w:rsidRPr="00CE494B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CE494B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CE494B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CE494B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CE494B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CE494B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CE494B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977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CE494B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CE494B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CE494B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7D382B" w:rsidRPr="00CE494B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CE494B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5FB14C9D" w:rsidR="0079765A" w:rsidRPr="00CE494B" w:rsidRDefault="00854CB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26</w:t>
                  </w:r>
                </w:p>
              </w:tc>
            </w:tr>
            <w:tr w:rsidR="00205345" w:rsidRPr="00CE494B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CE494B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1C5CE7DD" w:rsidR="00205345" w:rsidRPr="00CE494B" w:rsidRDefault="00854CB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13</w:t>
                  </w:r>
                </w:p>
              </w:tc>
            </w:tr>
            <w:tr w:rsidR="00854CBC" w:rsidRPr="00CE494B" w14:paraId="730AE8A9" w14:textId="77777777" w:rsidTr="005348E2">
              <w:tc>
                <w:tcPr>
                  <w:tcW w:w="3093" w:type="dxa"/>
                </w:tcPr>
                <w:p w14:paraId="4353CA61" w14:textId="05343EAA" w:rsidR="00854CBC" w:rsidRPr="00CE494B" w:rsidRDefault="00854CBC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ΑΣΚΗΣΕΙΣ</w:t>
                  </w:r>
                </w:p>
              </w:tc>
              <w:tc>
                <w:tcPr>
                  <w:tcW w:w="1471" w:type="dxa"/>
                </w:tcPr>
                <w:p w14:paraId="0087C12F" w14:textId="0D8F2969" w:rsidR="00854CBC" w:rsidRPr="00CE494B" w:rsidRDefault="00854CB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13</w:t>
                  </w:r>
                </w:p>
              </w:tc>
            </w:tr>
            <w:tr w:rsidR="00854CBC" w:rsidRPr="00CE494B" w14:paraId="431518C8" w14:textId="77777777" w:rsidTr="005348E2">
              <w:tc>
                <w:tcPr>
                  <w:tcW w:w="3093" w:type="dxa"/>
                </w:tcPr>
                <w:p w14:paraId="7C8CBEF3" w14:textId="785CDC32" w:rsidR="00854CBC" w:rsidRPr="00CE494B" w:rsidRDefault="00854CBC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ΜΕΛΕΤΗ ΚΑΙ ΑΝΑΛΥΣΗ ΒΙΒΛΙΟΓΡΑΦΙΑΣ</w:t>
                  </w:r>
                </w:p>
              </w:tc>
              <w:tc>
                <w:tcPr>
                  <w:tcW w:w="1471" w:type="dxa"/>
                </w:tcPr>
                <w:p w14:paraId="3E86591A" w14:textId="2FFCE53E" w:rsidR="00854CBC" w:rsidRPr="00CE494B" w:rsidRDefault="00854CB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20</w:t>
                  </w:r>
                </w:p>
              </w:tc>
            </w:tr>
            <w:tr w:rsidR="00205345" w:rsidRPr="00CE494B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CE494B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751C70A0" w:rsidR="00205345" w:rsidRPr="00CE494B" w:rsidRDefault="00854CB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51</w:t>
                  </w:r>
                </w:p>
              </w:tc>
            </w:tr>
            <w:tr w:rsidR="00854CBC" w:rsidRPr="00CE494B" w14:paraId="2558B6EE" w14:textId="77777777" w:rsidTr="005348E2">
              <w:tc>
                <w:tcPr>
                  <w:tcW w:w="3093" w:type="dxa"/>
                </w:tcPr>
                <w:p w14:paraId="252913E5" w14:textId="28E9CA89" w:rsidR="00854CBC" w:rsidRPr="00CE494B" w:rsidRDefault="00854CBC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ΕΞΕΤΑΣΗ</w:t>
                  </w:r>
                </w:p>
              </w:tc>
              <w:tc>
                <w:tcPr>
                  <w:tcW w:w="1471" w:type="dxa"/>
                </w:tcPr>
                <w:p w14:paraId="33ECFAA7" w14:textId="2C0BAE41" w:rsidR="00854CBC" w:rsidRPr="00CE494B" w:rsidRDefault="00854CBC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</w:t>
                  </w:r>
                </w:p>
              </w:tc>
            </w:tr>
            <w:tr w:rsidR="007D382B" w:rsidRPr="00CE494B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CE494B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CE494B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40D8A3DC" w:rsidR="0079765A" w:rsidRPr="00CE494B" w:rsidRDefault="00854CBC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CE494B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125</w:t>
                  </w:r>
                </w:p>
              </w:tc>
            </w:tr>
          </w:tbl>
          <w:p w14:paraId="50617A7F" w14:textId="77777777" w:rsidR="0079765A" w:rsidRPr="00CE494B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CE494B" w14:paraId="688B45F1" w14:textId="77777777" w:rsidTr="00854CBC">
        <w:tc>
          <w:tcPr>
            <w:tcW w:w="4655" w:type="dxa"/>
            <w:shd w:val="clear" w:color="auto" w:fill="F2F2F2" w:themeFill="background1" w:themeFillShade="F2"/>
          </w:tcPr>
          <w:p w14:paraId="4B7167DD" w14:textId="77777777" w:rsidR="0079765A" w:rsidRPr="00CE494B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CE494B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CE494B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CE494B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CE494B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Αναφέρονται ρητά προσδιορισμένα κριτήρια αξιολόγησης και εάν και που είναι προσβάσιμα από τους φοιτητές.</w:t>
            </w:r>
          </w:p>
        </w:tc>
        <w:tc>
          <w:tcPr>
            <w:tcW w:w="5977" w:type="dxa"/>
            <w:gridSpan w:val="5"/>
            <w:shd w:val="clear" w:color="auto" w:fill="auto"/>
          </w:tcPr>
          <w:p w14:paraId="7FD2A770" w14:textId="77777777" w:rsidR="0079765A" w:rsidRPr="00CE494B" w:rsidRDefault="0079765A" w:rsidP="00215541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49D32BFF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454B9F11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01222952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Γραπτή τελική εξέταση με ερωτήσεις πολλαπλής επιλογής (Μονάδες 10)</w:t>
            </w:r>
          </w:p>
          <w:p w14:paraId="1697CF9C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59045C94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176074FE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6A75008C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25A2F79E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78022C6E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066F7578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7CFA39A8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2682E3A9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0664872A" w14:textId="77777777" w:rsidR="00854CBC" w:rsidRPr="00CE494B" w:rsidRDefault="00854CBC" w:rsidP="00854CB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351E5AB9" w14:textId="00C3CA8A" w:rsidR="00205345" w:rsidRPr="00CE494B" w:rsidRDefault="00205345" w:rsidP="00205345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</w:tc>
      </w:tr>
      <w:tr w:rsidR="007D382B" w:rsidRPr="00CE494B" w14:paraId="286895FC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77777777" w:rsidR="0079765A" w:rsidRPr="00CE494B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CE494B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CE494B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CE494B" w14:paraId="59D52CD5" w14:textId="77777777" w:rsidTr="00854CBC">
        <w:tc>
          <w:tcPr>
            <w:tcW w:w="4655" w:type="dxa"/>
            <w:shd w:val="clear" w:color="auto" w:fill="FFFFFF" w:themeFill="background1"/>
          </w:tcPr>
          <w:p w14:paraId="3DBB8845" w14:textId="43204522" w:rsidR="0079765A" w:rsidRPr="00CE494B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977" w:type="dxa"/>
            <w:gridSpan w:val="5"/>
            <w:shd w:val="clear" w:color="auto" w:fill="FFFFFF" w:themeFill="background1"/>
          </w:tcPr>
          <w:p w14:paraId="5EFA4B23" w14:textId="523AF8A4" w:rsidR="00854CBC" w:rsidRPr="00CE494B" w:rsidRDefault="00854CBC" w:rsidP="002C480E">
            <w:pPr>
              <w:pStyle w:val="a3"/>
              <w:numPr>
                <w:ilvl w:val="0"/>
                <w:numId w:val="11"/>
              </w:numPr>
              <w:ind w:left="486" w:hanging="284"/>
              <w:jc w:val="both"/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>Beveridge M. (2004) Cage Aquaculture. Third Edition, Blackwell Publishing, UK, 368 p.</w:t>
            </w:r>
          </w:p>
          <w:p w14:paraId="432158D4" w14:textId="28F75825" w:rsidR="00854CBC" w:rsidRPr="00CE494B" w:rsidRDefault="00854CBC" w:rsidP="002C480E">
            <w:pPr>
              <w:pStyle w:val="a3"/>
              <w:numPr>
                <w:ilvl w:val="0"/>
                <w:numId w:val="11"/>
              </w:numPr>
              <w:ind w:left="486" w:hanging="284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Hargrave B. (2005) Environmental Effects of Marine Finfish Aquaculture.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</w:rPr>
              <w:t>Springer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</w:rPr>
              <w:t>NY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</w:rPr>
              <w:t>USA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</w:rPr>
              <w:t>, 467 p.</w:t>
            </w:r>
          </w:p>
          <w:p w14:paraId="7159920E" w14:textId="19386D1C" w:rsidR="00854CBC" w:rsidRPr="00CE494B" w:rsidRDefault="00854CBC" w:rsidP="002C480E">
            <w:pPr>
              <w:pStyle w:val="a3"/>
              <w:numPr>
                <w:ilvl w:val="0"/>
                <w:numId w:val="11"/>
              </w:numPr>
              <w:ind w:left="486" w:hanging="284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Holmer M., Black K., Duarte C.M.,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>Marbà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>Karakassis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 I. (2008) Aquaculture in the Ecosystem. 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</w:rPr>
              <w:t>Springer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</w:rPr>
              <w:t>,  326 p.</w:t>
            </w:r>
          </w:p>
          <w:p w14:paraId="05EFC13E" w14:textId="3A444108" w:rsidR="0079765A" w:rsidRPr="00CE494B" w:rsidRDefault="00854CBC" w:rsidP="002C480E">
            <w:pPr>
              <w:pStyle w:val="a3"/>
              <w:numPr>
                <w:ilvl w:val="0"/>
                <w:numId w:val="11"/>
              </w:numPr>
              <w:ind w:left="486" w:hanging="284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E494B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Tucker C.S., Hargreaves J.A. (2008) Environmental Best Management Practices for Aquaculture.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</w:rPr>
              <w:t>Wiley-Blackwell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CE494B">
              <w:rPr>
                <w:rFonts w:ascii="Cambria" w:hAnsi="Cambria" w:cstheme="minorHAnsi"/>
                <w:sz w:val="20"/>
                <w:szCs w:val="20"/>
              </w:rPr>
              <w:t>USA</w:t>
            </w:r>
            <w:proofErr w:type="spellEnd"/>
            <w:r w:rsidRPr="00CE494B">
              <w:rPr>
                <w:rFonts w:ascii="Cambria" w:hAnsi="Cambria" w:cstheme="minorHAnsi"/>
                <w:sz w:val="20"/>
                <w:szCs w:val="20"/>
              </w:rPr>
              <w:t>, 592 p.</w:t>
            </w:r>
          </w:p>
        </w:tc>
      </w:tr>
      <w:bookmarkEnd w:id="0"/>
    </w:tbl>
    <w:p w14:paraId="4C069D0F" w14:textId="77777777" w:rsidR="00716498" w:rsidRPr="00854CBC" w:rsidRDefault="00716498">
      <w:pPr>
        <w:rPr>
          <w:rFonts w:asciiTheme="minorHAnsi" w:hAnsiTheme="minorHAnsi" w:cstheme="minorHAnsi"/>
          <w:sz w:val="22"/>
          <w:szCs w:val="22"/>
        </w:rPr>
      </w:pPr>
    </w:p>
    <w:sectPr w:rsidR="00716498" w:rsidRPr="00854CBC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7A7"/>
    <w:multiLevelType w:val="hybridMultilevel"/>
    <w:tmpl w:val="EC448300"/>
    <w:lvl w:ilvl="0" w:tplc="0408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03691095"/>
    <w:multiLevelType w:val="hybridMultilevel"/>
    <w:tmpl w:val="CCA2D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73D5"/>
    <w:multiLevelType w:val="hybridMultilevel"/>
    <w:tmpl w:val="097EA352"/>
    <w:lvl w:ilvl="0" w:tplc="9A74D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D76138"/>
    <w:multiLevelType w:val="hybridMultilevel"/>
    <w:tmpl w:val="CEC879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4786">
    <w:abstractNumId w:val="6"/>
  </w:num>
  <w:num w:numId="2" w16cid:durableId="74519030">
    <w:abstractNumId w:val="2"/>
  </w:num>
  <w:num w:numId="3" w16cid:durableId="801505949">
    <w:abstractNumId w:val="7"/>
  </w:num>
  <w:num w:numId="4" w16cid:durableId="634413555">
    <w:abstractNumId w:val="9"/>
  </w:num>
  <w:num w:numId="5" w16cid:durableId="325279447">
    <w:abstractNumId w:val="4"/>
  </w:num>
  <w:num w:numId="6" w16cid:durableId="1158299769">
    <w:abstractNumId w:val="5"/>
  </w:num>
  <w:num w:numId="7" w16cid:durableId="191651703">
    <w:abstractNumId w:val="8"/>
  </w:num>
  <w:num w:numId="8" w16cid:durableId="254287226">
    <w:abstractNumId w:val="1"/>
  </w:num>
  <w:num w:numId="9" w16cid:durableId="859901525">
    <w:abstractNumId w:val="10"/>
  </w:num>
  <w:num w:numId="10" w16cid:durableId="1277105787">
    <w:abstractNumId w:val="3"/>
  </w:num>
  <w:num w:numId="11" w16cid:durableId="91436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F5DF6"/>
    <w:rsid w:val="001034D1"/>
    <w:rsid w:val="001039CA"/>
    <w:rsid w:val="0012496E"/>
    <w:rsid w:val="001841B9"/>
    <w:rsid w:val="00205345"/>
    <w:rsid w:val="002C480E"/>
    <w:rsid w:val="003A4686"/>
    <w:rsid w:val="005348E2"/>
    <w:rsid w:val="005B56DD"/>
    <w:rsid w:val="00716498"/>
    <w:rsid w:val="0079765A"/>
    <w:rsid w:val="007D382B"/>
    <w:rsid w:val="008159D7"/>
    <w:rsid w:val="00854CBC"/>
    <w:rsid w:val="00877657"/>
    <w:rsid w:val="009F5A5A"/>
    <w:rsid w:val="00BA5428"/>
    <w:rsid w:val="00CC18DD"/>
    <w:rsid w:val="00CC4EC0"/>
    <w:rsid w:val="00CE494B"/>
    <w:rsid w:val="00DD7A9A"/>
    <w:rsid w:val="00E523D2"/>
    <w:rsid w:val="00F43051"/>
    <w:rsid w:val="00F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5</cp:revision>
  <dcterms:created xsi:type="dcterms:W3CDTF">2024-09-27T11:01:00Z</dcterms:created>
  <dcterms:modified xsi:type="dcterms:W3CDTF">2024-10-08T09:01:00Z</dcterms:modified>
</cp:coreProperties>
</file>